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8160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087EAA7B" w:rsidR="0012209D" w:rsidRDefault="00E4091B" w:rsidP="00321CAA">
            <w:r>
              <w:t>30/5/2023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1897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9E5AEEC" w:rsidR="0012209D" w:rsidRPr="00447FD8" w:rsidRDefault="000D22A0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Student Systems Support Manager</w:t>
            </w:r>
          </w:p>
        </w:tc>
      </w:tr>
      <w:tr w:rsidR="003E3C65" w14:paraId="6C455E62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40D3ECE" w14:textId="740CA350" w:rsidR="003E3C65" w:rsidRDefault="003E3C65" w:rsidP="00321CAA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4B2F2FB0" w14:textId="5AC08D41" w:rsidR="003E3C65" w:rsidRDefault="001D4A48" w:rsidP="00321CAA">
            <w:r w:rsidRPr="009D10BF">
              <w:t>TBC – Depends on Specialist Area and Key Accountabilities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BD340A2" w:rsidR="0012209D" w:rsidRDefault="00510FA7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7D6366F3" w:rsidR="0012209D" w:rsidRDefault="0070532A" w:rsidP="000D22A0">
            <w:pPr>
              <w:tabs>
                <w:tab w:val="left" w:pos="1390"/>
              </w:tabs>
            </w:pPr>
            <w:r>
              <w:t>Student Administration and Academic Affairs (SAAA)</w:t>
            </w:r>
            <w:r w:rsidR="000D22A0">
              <w:tab/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F523263" w:rsidR="00746AEB" w:rsidRDefault="0070532A" w:rsidP="00321CAA">
            <w:r>
              <w:t>Student Experience Directorate (SED)</w:t>
            </w:r>
          </w:p>
        </w:tc>
      </w:tr>
      <w:tr w:rsidR="0012209D" w14:paraId="15BF087A" w14:textId="77777777" w:rsidTr="002E1514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F4D7A72" w:rsidR="0012209D" w:rsidRPr="005508A2" w:rsidRDefault="002C4EA0" w:rsidP="00321CAA">
            <w:r>
              <w:t>Head of Student Systems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16CE8533" w:rsidR="0012209D" w:rsidRPr="002C4EA0" w:rsidRDefault="002C4EA0" w:rsidP="00321CAA">
            <w:r w:rsidRPr="002C4EA0">
              <w:t>Student Systems Support</w:t>
            </w:r>
            <w:r w:rsidR="00CA3998">
              <w:t xml:space="preserve"> </w:t>
            </w:r>
            <w:r w:rsidR="0043574D">
              <w:t>Administrator</w:t>
            </w:r>
            <w:r w:rsidR="00721F57">
              <w:t xml:space="preserve"> 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F6B7682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75EED27A" w:rsidR="009724DF" w:rsidRDefault="002324AE" w:rsidP="001D4A48">
            <w:r>
              <w:t xml:space="preserve">To </w:t>
            </w:r>
            <w:r w:rsidR="00712F74">
              <w:t xml:space="preserve">manage provision of </w:t>
            </w:r>
            <w:r w:rsidR="00D560FF">
              <w:t xml:space="preserve">specialist </w:t>
            </w:r>
            <w:r w:rsidR="006D47B6">
              <w:t xml:space="preserve">support </w:t>
            </w:r>
            <w:r w:rsidR="00257395">
              <w:t xml:space="preserve">for </w:t>
            </w:r>
            <w:r w:rsidR="000C3DC1" w:rsidRPr="000C3DC1">
              <w:t>systems that underpin the management and administration of students and the curriculum</w:t>
            </w:r>
            <w:r w:rsidR="00657D2F">
              <w:t>,</w:t>
            </w:r>
            <w:r w:rsidR="00C176B7">
              <w:t xml:space="preserve"> ensur</w:t>
            </w:r>
            <w:r w:rsidR="00657D2F">
              <w:t>ing</w:t>
            </w:r>
            <w:r w:rsidR="00C176B7">
              <w:t xml:space="preserve"> </w:t>
            </w:r>
            <w:r w:rsidR="00A5009C">
              <w:t xml:space="preserve">user </w:t>
            </w:r>
            <w:r w:rsidR="00C176B7">
              <w:t xml:space="preserve">issues </w:t>
            </w:r>
            <w:r w:rsidR="00D560FF">
              <w:t xml:space="preserve">are </w:t>
            </w:r>
            <w:r w:rsidR="00C176B7">
              <w:t xml:space="preserve">resolved </w:t>
            </w:r>
            <w:r w:rsidR="00A5009C">
              <w:t xml:space="preserve">in a timely manner </w:t>
            </w:r>
            <w:r w:rsidR="00C176B7">
              <w:t>and</w:t>
            </w:r>
            <w:r w:rsidR="001D4A48">
              <w:t xml:space="preserve"> </w:t>
            </w:r>
            <w:r w:rsidR="005F617E">
              <w:t xml:space="preserve">business requirements are met through </w:t>
            </w:r>
            <w:r w:rsidR="0066702B">
              <w:t xml:space="preserve">continuous </w:t>
            </w:r>
            <w:r w:rsidR="00D560FF">
              <w:t>improvement</w:t>
            </w:r>
            <w:r w:rsidR="00B56A05">
              <w:t>.</w:t>
            </w:r>
            <w:r w:rsidR="001D4A48">
              <w:t xml:space="preserve"> The post holder will also be required to contribute to the broader activities that ensure the University’s student systems meet agreed and acceptable requirements and standards.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807CDB5" w14:textId="269F3074" w:rsidR="00534CBB" w:rsidRDefault="00534CBB" w:rsidP="00D64C81">
            <w:r>
              <w:t xml:space="preserve">To contribute to University wide </w:t>
            </w:r>
            <w:r w:rsidR="00FA2871">
              <w:t>student</w:t>
            </w:r>
            <w:r>
              <w:t xml:space="preserve"> systems projects </w:t>
            </w:r>
            <w:r w:rsidR="007C6A76">
              <w:t xml:space="preserve">and </w:t>
            </w:r>
            <w:r>
              <w:t xml:space="preserve">lead short-term projects within own </w:t>
            </w:r>
            <w:r w:rsidR="00862EE8">
              <w:t xml:space="preserve">department using specialist knowledge of </w:t>
            </w:r>
            <w:r w:rsidR="00FD332B">
              <w:t xml:space="preserve">systems, </w:t>
            </w:r>
            <w:r w:rsidR="00DC3E00">
              <w:t>user</w:t>
            </w:r>
            <w:r w:rsidR="00052E03">
              <w:t xml:space="preserve"> requirements, risks and issues</w:t>
            </w:r>
            <w:r w:rsidR="00FD332B">
              <w:t>.</w:t>
            </w:r>
            <w:r w:rsidR="00581350">
              <w:t xml:space="preserve"> </w:t>
            </w:r>
          </w:p>
          <w:p w14:paraId="5F20A519" w14:textId="42A1F340" w:rsidR="0094709E" w:rsidRDefault="00C31B06" w:rsidP="00D64C81">
            <w:r w:rsidRPr="00C31B06">
              <w:t xml:space="preserve">To </w:t>
            </w:r>
            <w:r w:rsidR="00304FAE">
              <w:t>manage</w:t>
            </w:r>
            <w:r w:rsidRPr="00C31B06">
              <w:t xml:space="preserve"> provision of specia</w:t>
            </w:r>
            <w:r>
              <w:t>list</w:t>
            </w:r>
            <w:r w:rsidR="002403F6">
              <w:t xml:space="preserve"> support </w:t>
            </w:r>
            <w:r w:rsidR="006E1A16">
              <w:t>to users of</w:t>
            </w:r>
            <w:r w:rsidR="002403F6">
              <w:t xml:space="preserve"> student systems</w:t>
            </w:r>
            <w:r w:rsidR="00980E69">
              <w:t xml:space="preserve">, including detailed advice and guidance on specialist processes and procedures, </w:t>
            </w:r>
            <w:r w:rsidR="00DB2F43">
              <w:t xml:space="preserve">ensuring </w:t>
            </w:r>
            <w:r w:rsidR="008F22C6">
              <w:t xml:space="preserve">issues </w:t>
            </w:r>
            <w:r w:rsidR="00DB2F43">
              <w:t xml:space="preserve">are </w:t>
            </w:r>
            <w:r w:rsidR="004C2D6D">
              <w:t>clearly recorded</w:t>
            </w:r>
            <w:r w:rsidR="00C9059C">
              <w:t>,</w:t>
            </w:r>
            <w:r w:rsidR="0010642F">
              <w:t xml:space="preserve"> </w:t>
            </w:r>
            <w:r w:rsidR="008F22C6">
              <w:t>progressing solutions</w:t>
            </w:r>
            <w:r w:rsidR="004C2D6D">
              <w:t xml:space="preserve"> and</w:t>
            </w:r>
            <w:r w:rsidR="00D9486C">
              <w:t xml:space="preserve"> </w:t>
            </w:r>
            <w:r w:rsidR="0061324D">
              <w:t xml:space="preserve">the </w:t>
            </w:r>
            <w:r w:rsidR="00472965">
              <w:t>associated testing</w:t>
            </w:r>
            <w:r w:rsidR="00EA5098">
              <w:t>.</w:t>
            </w:r>
          </w:p>
          <w:p w14:paraId="15BF0892" w14:textId="29938C82" w:rsidR="003D457A" w:rsidRDefault="003D457A" w:rsidP="003D457A"/>
        </w:tc>
        <w:tc>
          <w:tcPr>
            <w:tcW w:w="1027" w:type="dxa"/>
          </w:tcPr>
          <w:p w14:paraId="15BF0893" w14:textId="4E59C644" w:rsidR="0012209D" w:rsidRDefault="00B15EDC" w:rsidP="00321CAA">
            <w:r>
              <w:t>3</w:t>
            </w:r>
            <w:r w:rsidR="00F36E01">
              <w:t>0</w:t>
            </w:r>
            <w:r w:rsidR="00343D93">
              <w:t xml:space="preserve"> %</w:t>
            </w:r>
          </w:p>
        </w:tc>
      </w:tr>
      <w:tr w:rsidR="0012209D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77A8304F" w14:textId="304E66ED" w:rsidR="0012209D" w:rsidRDefault="00C31B06" w:rsidP="00EE13FB">
            <w:r w:rsidRPr="00C31B06">
              <w:t>To carry out detailed assessment and analysis of issues and problems, using specialist knowledge to identify and recommend appropriate solutions</w:t>
            </w:r>
            <w:r w:rsidR="003D635F">
              <w:t xml:space="preserve"> for the University’s student systems</w:t>
            </w:r>
            <w:r w:rsidRPr="00C31B06">
              <w:t>.</w:t>
            </w:r>
          </w:p>
          <w:p w14:paraId="15BF089A" w14:textId="2EA4A938" w:rsidR="006E2AFB" w:rsidRDefault="00553178" w:rsidP="00EE13FB">
            <w:r>
              <w:t xml:space="preserve">Act as a specialist reference point for </w:t>
            </w:r>
            <w:r w:rsidR="009260C1">
              <w:t xml:space="preserve">and provide coaching to </w:t>
            </w:r>
            <w:r>
              <w:t>members of the support team where specialist knowledge is needed</w:t>
            </w:r>
            <w:r w:rsidR="009260C1">
              <w:t>.</w:t>
            </w:r>
          </w:p>
        </w:tc>
        <w:tc>
          <w:tcPr>
            <w:tcW w:w="1027" w:type="dxa"/>
          </w:tcPr>
          <w:p w14:paraId="15BF089B" w14:textId="66589F21" w:rsidR="0012209D" w:rsidRDefault="00012AA0" w:rsidP="00321CAA">
            <w:r>
              <w:t>2</w:t>
            </w:r>
            <w:r w:rsidR="00F36E01">
              <w:t>0</w:t>
            </w:r>
            <w:r w:rsidR="00343D93">
              <w:t xml:space="preserve"> %</w:t>
            </w:r>
          </w:p>
        </w:tc>
      </w:tr>
      <w:tr w:rsidR="0012209D" w14:paraId="15BF08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0D29CF9" w14:textId="1D134CCF" w:rsidR="007C0817" w:rsidRDefault="007C0817" w:rsidP="007C0817">
            <w:r>
              <w:t xml:space="preserve">To </w:t>
            </w:r>
            <w:r w:rsidR="00083593">
              <w:t>coordinate provision of</w:t>
            </w:r>
            <w:r>
              <w:t xml:space="preserve"> specialist system administration including </w:t>
            </w:r>
          </w:p>
          <w:p w14:paraId="2ADC9CFA" w14:textId="480AE94A" w:rsidR="007C0817" w:rsidRDefault="007C0817" w:rsidP="007C0817">
            <w:pPr>
              <w:pStyle w:val="ListParagraph"/>
              <w:numPr>
                <w:ilvl w:val="0"/>
                <w:numId w:val="23"/>
              </w:numPr>
            </w:pPr>
            <w:r>
              <w:t>Managing user access functions and reference data, ensuring that system integrity and data quality are maintained</w:t>
            </w:r>
            <w:r w:rsidR="003E067C">
              <w:t>.</w:t>
            </w:r>
          </w:p>
          <w:p w14:paraId="06929BDD" w14:textId="6F1217F4" w:rsidR="00F7463A" w:rsidRDefault="003E067C" w:rsidP="007C0817">
            <w:pPr>
              <w:pStyle w:val="ListParagraph"/>
              <w:numPr>
                <w:ilvl w:val="0"/>
                <w:numId w:val="23"/>
              </w:numPr>
            </w:pPr>
            <w:r>
              <w:t>M</w:t>
            </w:r>
            <w:r w:rsidR="007C0817">
              <w:t>aintaining system and user documentation</w:t>
            </w:r>
            <w:r>
              <w:t>.</w:t>
            </w:r>
          </w:p>
          <w:p w14:paraId="15BF089E" w14:textId="0FC37A65" w:rsidR="007C0817" w:rsidRDefault="003E067C" w:rsidP="007C0817">
            <w:pPr>
              <w:pStyle w:val="ListParagraph"/>
              <w:numPr>
                <w:ilvl w:val="0"/>
                <w:numId w:val="23"/>
              </w:numPr>
            </w:pPr>
            <w:r>
              <w:t>P</w:t>
            </w:r>
            <w:r w:rsidR="007C0817">
              <w:t>roactively ensuring regular functions are carried out in line with operational requirements and deadlines.</w:t>
            </w:r>
          </w:p>
        </w:tc>
        <w:tc>
          <w:tcPr>
            <w:tcW w:w="1027" w:type="dxa"/>
          </w:tcPr>
          <w:p w14:paraId="15BF089F" w14:textId="45F72151" w:rsidR="0012209D" w:rsidRDefault="006E0A1A" w:rsidP="00321CAA">
            <w:r>
              <w:t>20</w:t>
            </w:r>
            <w:r w:rsidR="00343D93">
              <w:t xml:space="preserve"> %</w:t>
            </w:r>
          </w:p>
        </w:tc>
      </w:tr>
      <w:tr w:rsidR="00BE0D87" w14:paraId="39FE945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557B67AA" w14:textId="77777777" w:rsidR="00BE0D87" w:rsidRDefault="00BE0D8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7A44BA53" w14:textId="06357885" w:rsidR="00315265" w:rsidRDefault="00F36E01" w:rsidP="00D82616">
            <w:r>
              <w:t xml:space="preserve">To </w:t>
            </w:r>
            <w:r w:rsidR="00C76CFD">
              <w:t>provide written</w:t>
            </w:r>
            <w:r>
              <w:t xml:space="preserve"> reports and </w:t>
            </w:r>
            <w:r w:rsidRPr="00C31B06">
              <w:t>briefings</w:t>
            </w:r>
            <w:r w:rsidR="00315265">
              <w:t xml:space="preserve"> </w:t>
            </w:r>
            <w:r w:rsidR="00656950">
              <w:t xml:space="preserve">on </w:t>
            </w:r>
            <w:r w:rsidR="00315265">
              <w:t>the use</w:t>
            </w:r>
            <w:r w:rsidR="00CB0C44">
              <w:t>, risks</w:t>
            </w:r>
            <w:r w:rsidR="00315265">
              <w:t xml:space="preserve"> </w:t>
            </w:r>
            <w:r w:rsidR="00DB33BE">
              <w:t xml:space="preserve">and performance </w:t>
            </w:r>
            <w:r w:rsidR="00641254">
              <w:t xml:space="preserve">of student systems, </w:t>
            </w:r>
            <w:r w:rsidR="00DB33BE">
              <w:t xml:space="preserve">including statistics on </w:t>
            </w:r>
            <w:r w:rsidR="00641254">
              <w:t>user issues</w:t>
            </w:r>
            <w:r w:rsidR="00E91A68">
              <w:t>,</w:t>
            </w:r>
            <w:r w:rsidR="00641254">
              <w:t xml:space="preserve"> </w:t>
            </w:r>
            <w:r w:rsidR="00651F2C">
              <w:t>issue resolution</w:t>
            </w:r>
            <w:r w:rsidR="006C6D1B">
              <w:t xml:space="preserve"> </w:t>
            </w:r>
            <w:r w:rsidR="00E91A68">
              <w:t xml:space="preserve">timescales and </w:t>
            </w:r>
            <w:r w:rsidR="00651F2C">
              <w:t>workload</w:t>
            </w:r>
            <w:r w:rsidR="00141C29">
              <w:t xml:space="preserve">, </w:t>
            </w:r>
            <w:r w:rsidR="00772BD0">
              <w:t xml:space="preserve">and </w:t>
            </w:r>
            <w:r w:rsidR="00600B93">
              <w:t xml:space="preserve">recommending </w:t>
            </w:r>
            <w:r w:rsidR="008F7A00">
              <w:t>mitigating actions</w:t>
            </w:r>
            <w:r w:rsidR="00DF5AA6">
              <w:t xml:space="preserve"> and long-term enhancements</w:t>
            </w:r>
            <w:r w:rsidR="00772BD0">
              <w:t xml:space="preserve">, </w:t>
            </w:r>
            <w:r w:rsidR="00801455">
              <w:t xml:space="preserve">advising on business requirement trends and </w:t>
            </w:r>
            <w:r w:rsidR="00561E02">
              <w:t>providing workload projections</w:t>
            </w:r>
            <w:r w:rsidR="00D82616">
              <w:t>.</w:t>
            </w:r>
          </w:p>
        </w:tc>
        <w:tc>
          <w:tcPr>
            <w:tcW w:w="1027" w:type="dxa"/>
          </w:tcPr>
          <w:p w14:paraId="39ACECA0" w14:textId="07DF4CFB" w:rsidR="00BE0D87" w:rsidRDefault="00D04ACA" w:rsidP="00321CAA">
            <w:r>
              <w:t>10%</w:t>
            </w:r>
          </w:p>
        </w:tc>
      </w:tr>
      <w:tr w:rsidR="0012209D" w14:paraId="15BF08A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23CC1D05" w:rsidR="007C0817" w:rsidRDefault="00C31B06" w:rsidP="00C31B06">
            <w:r w:rsidRPr="00C31B06">
              <w:t xml:space="preserve">To attend internal and external meetings to ensure that </w:t>
            </w:r>
            <w:r>
              <w:t>departmental</w:t>
            </w:r>
            <w:r w:rsidRPr="00C31B06">
              <w:t xml:space="preserve"> issues are appropriately represented and reported.</w:t>
            </w:r>
          </w:p>
        </w:tc>
        <w:tc>
          <w:tcPr>
            <w:tcW w:w="1027" w:type="dxa"/>
          </w:tcPr>
          <w:p w14:paraId="15BF08A3" w14:textId="35797B6F" w:rsidR="0012209D" w:rsidRDefault="00312B1E" w:rsidP="00321CAA">
            <w:r>
              <w:t>5</w:t>
            </w:r>
            <w:r w:rsidR="00343D93">
              <w:t xml:space="preserve"> %</w:t>
            </w:r>
          </w:p>
        </w:tc>
      </w:tr>
      <w:tr w:rsidR="000B63EF" w14:paraId="4EBD861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0B63EF" w:rsidRDefault="000B63EF" w:rsidP="000B63E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07CF98D" w14:textId="0DC1DC90" w:rsidR="000B63EF" w:rsidRPr="00671F76" w:rsidRDefault="000B63EF" w:rsidP="000B63EF">
            <w:r w:rsidRPr="00F862C5">
              <w:t>Line manag</w:t>
            </w:r>
            <w:r w:rsidR="00640842">
              <w:t>ement of the Student Systems Support Administrators</w:t>
            </w:r>
            <w:r w:rsidRPr="00F862C5">
              <w:t xml:space="preserve">, exercising </w:t>
            </w:r>
            <w:r w:rsidR="00D50B44">
              <w:t>effective</w:t>
            </w:r>
            <w:r w:rsidRPr="00F862C5">
              <w:t xml:space="preserve"> people management practices including training, advice and guidance as necessary. Ensure the right mix of skills and capabilities through continuous professional development, recruitment and performance feedback, to deliver </w:t>
            </w:r>
            <w:r>
              <w:t>project work</w:t>
            </w:r>
            <w:r w:rsidRPr="00F862C5">
              <w:t xml:space="preserve"> in a timely and effective manner. </w:t>
            </w:r>
          </w:p>
        </w:tc>
        <w:tc>
          <w:tcPr>
            <w:tcW w:w="1027" w:type="dxa"/>
          </w:tcPr>
          <w:p w14:paraId="357E70E3" w14:textId="64EF64D3" w:rsidR="000B63EF" w:rsidRDefault="000B63EF" w:rsidP="000B63EF">
            <w:r>
              <w:t>5%</w:t>
            </w:r>
          </w:p>
        </w:tc>
      </w:tr>
      <w:tr w:rsidR="000B63EF" w14:paraId="1C737A5B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D9AC75E" w14:textId="77777777" w:rsidR="000B63EF" w:rsidRDefault="000B63EF" w:rsidP="000B63E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55DF2AA7" w14:textId="2BE8B4CD" w:rsidR="000B63EF" w:rsidRPr="00343D93" w:rsidRDefault="000B63EF" w:rsidP="000B63EF">
            <w:r>
              <w:t>To be responsible for supporting system governance boards as requested.</w:t>
            </w:r>
          </w:p>
        </w:tc>
        <w:tc>
          <w:tcPr>
            <w:tcW w:w="1027" w:type="dxa"/>
          </w:tcPr>
          <w:p w14:paraId="6D7429C6" w14:textId="458745C2" w:rsidR="000B63EF" w:rsidRDefault="000B63EF" w:rsidP="000B63EF">
            <w:r>
              <w:t>5%</w:t>
            </w:r>
          </w:p>
        </w:tc>
      </w:tr>
      <w:tr w:rsidR="000B63EF" w14:paraId="246EBA75" w14:textId="77777777" w:rsidTr="00CE1DF1">
        <w:trPr>
          <w:cantSplit/>
        </w:trPr>
        <w:tc>
          <w:tcPr>
            <w:tcW w:w="606" w:type="dxa"/>
            <w:tcBorders>
              <w:right w:val="nil"/>
            </w:tcBorders>
          </w:tcPr>
          <w:p w14:paraId="65BA5268" w14:textId="77777777" w:rsidR="000B63EF" w:rsidRDefault="000B63EF" w:rsidP="000B63E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7F84AEE" w14:textId="77777777" w:rsidR="000B63EF" w:rsidRPr="00447FD8" w:rsidRDefault="000B63EF" w:rsidP="000B63EF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4B5F5C8F" w14:textId="23621403" w:rsidR="000B63EF" w:rsidRDefault="000B63EF" w:rsidP="000B63EF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C774913" w14:textId="77777777" w:rsidR="00397D4C" w:rsidRDefault="00BC12B7" w:rsidP="00397D4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Internal</w:t>
            </w:r>
            <w:r w:rsidRPr="00D54FC6">
              <w:rPr>
                <w:b/>
                <w:bCs/>
                <w:sz w:val="20"/>
              </w:rPr>
              <w:t xml:space="preserve"> Relationships</w:t>
            </w:r>
          </w:p>
          <w:p w14:paraId="1986DC78" w14:textId="77777777" w:rsidR="00397D4C" w:rsidRPr="00397D4C" w:rsidRDefault="00EB0E15" w:rsidP="00397D4C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0"/>
              </w:rPr>
            </w:pPr>
            <w:r w:rsidRPr="00397D4C">
              <w:rPr>
                <w:szCs w:val="18"/>
              </w:rPr>
              <w:t>S</w:t>
            </w:r>
            <w:r w:rsidR="0058535D" w:rsidRPr="00397D4C">
              <w:rPr>
                <w:szCs w:val="18"/>
              </w:rPr>
              <w:t xml:space="preserve">tudent systems users </w:t>
            </w:r>
            <w:r w:rsidR="00242EFF" w:rsidRPr="00397D4C">
              <w:rPr>
                <w:szCs w:val="18"/>
              </w:rPr>
              <w:t>across the University</w:t>
            </w:r>
          </w:p>
          <w:p w14:paraId="7757B8D6" w14:textId="77777777" w:rsidR="00397D4C" w:rsidRPr="00397D4C" w:rsidRDefault="00EB0E15" w:rsidP="00397D4C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0"/>
              </w:rPr>
            </w:pPr>
            <w:r w:rsidRPr="00397D4C">
              <w:rPr>
                <w:szCs w:val="18"/>
              </w:rPr>
              <w:t xml:space="preserve">Technical </w:t>
            </w:r>
            <w:r w:rsidR="000A4E82" w:rsidRPr="00397D4C">
              <w:rPr>
                <w:szCs w:val="18"/>
              </w:rPr>
              <w:t>colleagues</w:t>
            </w:r>
            <w:r w:rsidRPr="00397D4C">
              <w:rPr>
                <w:szCs w:val="18"/>
              </w:rPr>
              <w:t xml:space="preserve"> in </w:t>
            </w:r>
            <w:r w:rsidR="00CF101F" w:rsidRPr="00397D4C">
              <w:rPr>
                <w:szCs w:val="18"/>
              </w:rPr>
              <w:t xml:space="preserve">Student Systems and </w:t>
            </w:r>
            <w:r w:rsidR="00BC12B7" w:rsidRPr="00397D4C">
              <w:rPr>
                <w:szCs w:val="18"/>
              </w:rPr>
              <w:t xml:space="preserve">iSolutions </w:t>
            </w:r>
          </w:p>
          <w:p w14:paraId="455ACF72" w14:textId="48837CCE" w:rsidR="00BC12B7" w:rsidRPr="00397D4C" w:rsidRDefault="00BC12B7" w:rsidP="00397D4C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0"/>
              </w:rPr>
            </w:pPr>
            <w:r w:rsidRPr="00397D4C">
              <w:rPr>
                <w:szCs w:val="18"/>
              </w:rPr>
              <w:t>Attendance and membership at various University committees, working groups, programme and project boards</w:t>
            </w:r>
            <w:r w:rsidR="001B7E20" w:rsidRPr="00397D4C">
              <w:rPr>
                <w:szCs w:val="18"/>
              </w:rPr>
              <w:t>, and Student Systems team meetings</w:t>
            </w:r>
          </w:p>
          <w:p w14:paraId="6801CF5A" w14:textId="77777777" w:rsidR="00397D4C" w:rsidRDefault="00397D4C" w:rsidP="00BC12B7">
            <w:pPr>
              <w:rPr>
                <w:b/>
                <w:bCs/>
                <w:sz w:val="20"/>
              </w:rPr>
            </w:pPr>
          </w:p>
          <w:p w14:paraId="3B34CC0C" w14:textId="77777777" w:rsidR="00397D4C" w:rsidRDefault="00BC12B7" w:rsidP="00397D4C">
            <w:pPr>
              <w:rPr>
                <w:b/>
                <w:bCs/>
                <w:sz w:val="20"/>
              </w:rPr>
            </w:pPr>
            <w:r w:rsidRPr="00D54FC6">
              <w:rPr>
                <w:b/>
                <w:bCs/>
                <w:sz w:val="20"/>
              </w:rPr>
              <w:t>External Relationships</w:t>
            </w:r>
          </w:p>
          <w:p w14:paraId="04FD0C0E" w14:textId="77777777" w:rsidR="00397D4C" w:rsidRPr="00397D4C" w:rsidRDefault="00BC12B7" w:rsidP="00397D4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0"/>
              </w:rPr>
            </w:pPr>
            <w:r w:rsidRPr="00397D4C">
              <w:rPr>
                <w:szCs w:val="18"/>
              </w:rPr>
              <w:t>Software suppliers</w:t>
            </w:r>
            <w:r w:rsidR="005E7F8F" w:rsidRPr="00397D4C">
              <w:rPr>
                <w:szCs w:val="18"/>
              </w:rPr>
              <w:t xml:space="preserve"> and consultants</w:t>
            </w:r>
          </w:p>
          <w:p w14:paraId="20314092" w14:textId="77777777" w:rsidR="00397D4C" w:rsidRPr="00397D4C" w:rsidRDefault="00BC12B7" w:rsidP="00397D4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0"/>
              </w:rPr>
            </w:pPr>
            <w:r w:rsidRPr="00397D4C">
              <w:rPr>
                <w:szCs w:val="18"/>
              </w:rPr>
              <w:t>Staff from other institutions</w:t>
            </w:r>
          </w:p>
          <w:p w14:paraId="15BF08B0" w14:textId="3A1DB18D" w:rsidR="00C31B06" w:rsidRPr="00397D4C" w:rsidRDefault="00BC12B7" w:rsidP="00397D4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0"/>
              </w:rPr>
            </w:pPr>
            <w:r w:rsidRPr="00397D4C">
              <w:rPr>
                <w:szCs w:val="18"/>
              </w:rPr>
              <w:t>Professionally focused links as appropriate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1ACEF01B" w14:textId="11525597" w:rsidR="00AE07C9" w:rsidRDefault="00AE07C9" w:rsidP="00AE07C9">
            <w:pPr>
              <w:numPr>
                <w:ilvl w:val="0"/>
                <w:numId w:val="27"/>
              </w:numPr>
              <w:spacing w:before="0" w:after="0"/>
            </w:pPr>
            <w:r w:rsidRPr="00F40BFB">
              <w:t xml:space="preserve">Demonstrate Southampton University behaviours (Embedding Collegiality – see </w:t>
            </w:r>
            <w:r w:rsidR="008F367D">
              <w:t>Appendix 1</w:t>
            </w:r>
            <w:r w:rsidRPr="00F40BFB">
              <w:t>).</w:t>
            </w:r>
          </w:p>
          <w:p w14:paraId="0FDDFF79" w14:textId="1A36C288" w:rsidR="00AE07C9" w:rsidRPr="00E551C0" w:rsidRDefault="00AE07C9" w:rsidP="00AE07C9">
            <w:pPr>
              <w:numPr>
                <w:ilvl w:val="0"/>
                <w:numId w:val="27"/>
              </w:numPr>
              <w:spacing w:before="0" w:after="0"/>
            </w:pPr>
            <w:r w:rsidRPr="00E551C0">
              <w:rPr>
                <w:szCs w:val="18"/>
              </w:rPr>
              <w:t>Occasional out of hours working may be required to support key deliverables</w:t>
            </w:r>
            <w:r>
              <w:rPr>
                <w:szCs w:val="18"/>
              </w:rPr>
              <w:t xml:space="preserve">, for example </w:t>
            </w:r>
            <w:r w:rsidR="0067549B">
              <w:rPr>
                <w:szCs w:val="18"/>
              </w:rPr>
              <w:t xml:space="preserve">if any </w:t>
            </w:r>
            <w:r>
              <w:rPr>
                <w:szCs w:val="18"/>
              </w:rPr>
              <w:t xml:space="preserve">issues </w:t>
            </w:r>
            <w:r w:rsidR="0067549B">
              <w:rPr>
                <w:szCs w:val="18"/>
              </w:rPr>
              <w:t xml:space="preserve">arise from </w:t>
            </w:r>
            <w:r>
              <w:rPr>
                <w:szCs w:val="18"/>
              </w:rPr>
              <w:t>out of hours systems updates</w:t>
            </w:r>
            <w:r w:rsidRPr="00E551C0">
              <w:rPr>
                <w:szCs w:val="18"/>
              </w:rPr>
              <w:t>.</w:t>
            </w:r>
          </w:p>
          <w:p w14:paraId="6DA5CA0A" w14:textId="15E879F7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511EFC0" w14:textId="44FDF8D3" w:rsidR="00312C9E" w:rsidRDefault="00C31B06" w:rsidP="00601F61">
            <w:pPr>
              <w:spacing w:after="90"/>
            </w:pPr>
            <w:r>
              <w:t>Skill level equivalent to achievement of HND, Degree, NVQ4 or basic professional qualification.</w:t>
            </w:r>
          </w:p>
          <w:p w14:paraId="7922B6E6" w14:textId="01D7596A" w:rsidR="00C31B06" w:rsidRDefault="00EB0FFB" w:rsidP="00601F61">
            <w:pPr>
              <w:spacing w:after="90"/>
            </w:pPr>
            <w:r>
              <w:t>Knowledge and experience of working with Banner</w:t>
            </w:r>
            <w:r w:rsidR="003D2940">
              <w:t xml:space="preserve"> student record system</w:t>
            </w:r>
            <w:r w:rsidR="00C31B06">
              <w:t>.</w:t>
            </w:r>
          </w:p>
          <w:p w14:paraId="464B74DC" w14:textId="28107A2C" w:rsidR="004C7A5F" w:rsidRDefault="004C7A5F" w:rsidP="00601F61">
            <w:pPr>
              <w:spacing w:after="90"/>
            </w:pPr>
            <w:r>
              <w:t xml:space="preserve">Able to apply </w:t>
            </w:r>
            <w:r w:rsidR="00813283">
              <w:t xml:space="preserve">knowledge and experience of student systems to </w:t>
            </w:r>
            <w:r w:rsidR="00332BBB">
              <w:t>support new applications.</w:t>
            </w:r>
          </w:p>
          <w:p w14:paraId="7F161449" w14:textId="411DDABD" w:rsidR="00C31B06" w:rsidRDefault="00C31B06" w:rsidP="00601F61">
            <w:pPr>
              <w:spacing w:after="90"/>
            </w:pPr>
            <w:r w:rsidRPr="00C31B06">
              <w:t>Understanding of how the specialist</w:t>
            </w:r>
            <w:r w:rsidR="00BB0403">
              <w:t xml:space="preserve"> student systems</w:t>
            </w:r>
            <w:r w:rsidR="00FC57E5">
              <w:t xml:space="preserve"> support</w:t>
            </w:r>
            <w:r w:rsidRPr="00C31B06">
              <w:t xml:space="preserve"> provided by the post</w:t>
            </w:r>
            <w:r>
              <w:t>-</w:t>
            </w:r>
            <w:r w:rsidRPr="00C31B06">
              <w:t>holder support the objectives of the University.</w:t>
            </w:r>
          </w:p>
          <w:p w14:paraId="15BF08BC" w14:textId="485B1FDD" w:rsidR="00057DE4" w:rsidRDefault="00057DE4" w:rsidP="00601F61">
            <w:pPr>
              <w:spacing w:after="90"/>
            </w:pPr>
            <w:r>
              <w:t xml:space="preserve">Able to apply an awareness of principles and trends </w:t>
            </w:r>
            <w:r w:rsidR="003D0B6F">
              <w:t>within student systems</w:t>
            </w:r>
            <w:r>
              <w:t xml:space="preserve"> and an awareness of how this affects activities in the University.</w:t>
            </w:r>
          </w:p>
        </w:tc>
        <w:tc>
          <w:tcPr>
            <w:tcW w:w="3402" w:type="dxa"/>
          </w:tcPr>
          <w:p w14:paraId="09850B54" w14:textId="77777777" w:rsidR="00312C9E" w:rsidRDefault="00D43F60" w:rsidP="00617FAD">
            <w:pPr>
              <w:spacing w:after="90"/>
            </w:pPr>
            <w:r>
              <w:t>Project management qualification such as Prince2.</w:t>
            </w:r>
          </w:p>
          <w:p w14:paraId="15BF08BD" w14:textId="46E5F7A1" w:rsidR="003D2940" w:rsidRDefault="00F770B5" w:rsidP="00617FAD">
            <w:pPr>
              <w:spacing w:after="90"/>
            </w:pPr>
            <w:r>
              <w:t>Knowledge and e</w:t>
            </w:r>
            <w:r w:rsidR="003D2940">
              <w:t xml:space="preserve">xperience of Worktribe and </w:t>
            </w:r>
            <w:r w:rsidR="005959CD">
              <w:t>Haplo.</w:t>
            </w:r>
          </w:p>
        </w:tc>
        <w:tc>
          <w:tcPr>
            <w:tcW w:w="1330" w:type="dxa"/>
          </w:tcPr>
          <w:p w14:paraId="15BF08BE" w14:textId="2372D115" w:rsidR="00013C10" w:rsidRDefault="005B4132" w:rsidP="00343D93">
            <w:pPr>
              <w:spacing w:after="90"/>
            </w:pPr>
            <w:r>
              <w:t>Application &amp;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04BD971" w14:textId="77777777" w:rsidR="00601F61" w:rsidRDefault="00C31B06" w:rsidP="00702D64">
            <w:pPr>
              <w:spacing w:after="90"/>
            </w:pPr>
            <w:r>
              <w:t xml:space="preserve">Able to seek opportunities to progress </w:t>
            </w:r>
            <w:r w:rsidR="000134AC">
              <w:t xml:space="preserve">student systems support </w:t>
            </w:r>
            <w:r>
              <w:t xml:space="preserve">activities within </w:t>
            </w:r>
            <w:r w:rsidR="00421A84">
              <w:t>established</w:t>
            </w:r>
            <w:r>
              <w:t xml:space="preserve"> guidelines and in support of University policy.</w:t>
            </w:r>
          </w:p>
          <w:p w14:paraId="206258BC" w14:textId="77777777" w:rsidR="00F17E4E" w:rsidRDefault="00F17E4E" w:rsidP="00702D64">
            <w:pPr>
              <w:spacing w:after="90"/>
            </w:pPr>
            <w:r>
              <w:t>Able to interpret, align and prioritise work to a departmental strategy.</w:t>
            </w:r>
          </w:p>
          <w:p w14:paraId="15BF08C1" w14:textId="6FFF4517" w:rsidR="006D48A5" w:rsidRDefault="00F17E4E" w:rsidP="00702D64">
            <w:pPr>
              <w:spacing w:after="90"/>
            </w:pPr>
            <w:r>
              <w:t>Able to interpret, align and prioritise work to a University strategy.</w:t>
            </w:r>
          </w:p>
        </w:tc>
        <w:tc>
          <w:tcPr>
            <w:tcW w:w="3402" w:type="dxa"/>
          </w:tcPr>
          <w:p w14:paraId="15BF08C2" w14:textId="1DF1DB56" w:rsidR="00013C10" w:rsidRDefault="00C31B06" w:rsidP="00343D93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6E15D0AA" w14:textId="77777777" w:rsidR="00D73BB9" w:rsidRDefault="00057DE4" w:rsidP="00D73BB9">
            <w:pPr>
              <w:spacing w:after="90"/>
            </w:pPr>
            <w:r>
              <w:t xml:space="preserve">Able to develop understanding of long-standing and complex problems and to apply knowledge and experience </w:t>
            </w:r>
            <w:r w:rsidR="00FF0FA0">
              <w:t xml:space="preserve">of student systems </w:t>
            </w:r>
            <w:r>
              <w:t>to solve them.</w:t>
            </w:r>
          </w:p>
          <w:p w14:paraId="15BF08C6" w14:textId="2A58F75F" w:rsidR="008862A0" w:rsidRDefault="008862A0" w:rsidP="00D73BB9">
            <w:pPr>
              <w:spacing w:after="90"/>
            </w:pPr>
            <w:r>
              <w:t>Ability to use data driven analysis to find and solve problems.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6A4105B" w14:textId="77777777" w:rsidR="00057DE4" w:rsidRDefault="00057DE4" w:rsidP="00702D64">
            <w:pPr>
              <w:spacing w:after="90"/>
            </w:pPr>
            <w:r>
              <w:t>Able to proactively work with colleagues in other work areas to achieve outcomes.</w:t>
            </w:r>
          </w:p>
          <w:p w14:paraId="07F9A1DF" w14:textId="4F1450DE" w:rsidR="00312C9E" w:rsidRDefault="00057DE4" w:rsidP="00702D64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15BF08CB" w14:textId="160506D8" w:rsidR="00057DE4" w:rsidRDefault="00057DE4" w:rsidP="00057DE4">
            <w:pPr>
              <w:spacing w:after="90"/>
            </w:pPr>
            <w:r>
              <w:t>Able to formulate development plans for own staff to meet required skills.</w:t>
            </w:r>
          </w:p>
        </w:tc>
        <w:tc>
          <w:tcPr>
            <w:tcW w:w="3402" w:type="dxa"/>
          </w:tcPr>
          <w:p w14:paraId="15BF08CC" w14:textId="283A17B0" w:rsidR="00013C10" w:rsidRDefault="00057DE4" w:rsidP="00057DE4">
            <w:pPr>
              <w:spacing w:after="90"/>
            </w:pPr>
            <w:r>
              <w:t>Experience of successfully managing and developing staff.</w:t>
            </w: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6A43F17" w14:textId="0C7E9450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15BF08D0" w14:textId="0B143DE4" w:rsidR="00057DE4" w:rsidRDefault="00057DE4" w:rsidP="00057DE4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B42FC2" w14:paraId="2DBD29A1" w14:textId="77777777" w:rsidTr="00EB6BEE">
        <w:tc>
          <w:tcPr>
            <w:tcW w:w="1617" w:type="dxa"/>
          </w:tcPr>
          <w:p w14:paraId="729FBB57" w14:textId="77777777" w:rsidR="00B42FC2" w:rsidRPr="00FD5B0E" w:rsidRDefault="00B42FC2" w:rsidP="00EB6BEE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4E2FECD" w14:textId="69EE8518" w:rsidR="00B42FC2" w:rsidRDefault="00B42FC2" w:rsidP="00EB6BEE">
            <w:pPr>
              <w:spacing w:after="90"/>
            </w:pPr>
            <w:r>
              <w:t>See Appendix 1</w:t>
            </w:r>
          </w:p>
        </w:tc>
        <w:tc>
          <w:tcPr>
            <w:tcW w:w="3402" w:type="dxa"/>
          </w:tcPr>
          <w:p w14:paraId="4355E49A" w14:textId="77777777" w:rsidR="00B42FC2" w:rsidRDefault="00B42FC2" w:rsidP="00EB6BEE">
            <w:pPr>
              <w:spacing w:after="90"/>
            </w:pPr>
          </w:p>
        </w:tc>
        <w:tc>
          <w:tcPr>
            <w:tcW w:w="1330" w:type="dxa"/>
          </w:tcPr>
          <w:p w14:paraId="512FB199" w14:textId="77777777" w:rsidR="00B42FC2" w:rsidRDefault="00B42FC2" w:rsidP="00EB6BEE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lastRenderedPageBreak/>
              <w:t>Special requirements</w:t>
            </w:r>
          </w:p>
        </w:tc>
        <w:tc>
          <w:tcPr>
            <w:tcW w:w="3402" w:type="dxa"/>
          </w:tcPr>
          <w:p w14:paraId="15BF08DA" w14:textId="5D166A44" w:rsidR="00013C10" w:rsidRDefault="00A76D76" w:rsidP="00343D93">
            <w:pPr>
              <w:spacing w:after="90"/>
            </w:pPr>
            <w:r>
              <w:t xml:space="preserve">Ability to utilise </w:t>
            </w:r>
            <w:r w:rsidR="00DB59C5">
              <w:t xml:space="preserve">ticket management software </w:t>
            </w:r>
            <w:r w:rsidR="00962382">
              <w:t xml:space="preserve">to </w:t>
            </w:r>
            <w:r w:rsidR="00A27640">
              <w:t xml:space="preserve">organise, </w:t>
            </w:r>
            <w:r w:rsidR="00126851">
              <w:t xml:space="preserve">track, </w:t>
            </w:r>
            <w:r w:rsidR="00DB59C5">
              <w:t>report on and respond</w:t>
            </w:r>
            <w:r w:rsidR="00962382">
              <w:t xml:space="preserve"> </w:t>
            </w:r>
            <w:r w:rsidR="00DB59C5">
              <w:t>to</w:t>
            </w:r>
            <w:r w:rsidR="00962382">
              <w:t xml:space="preserve"> </w:t>
            </w:r>
            <w:r w:rsidR="00126851">
              <w:t xml:space="preserve">student systems </w:t>
            </w:r>
            <w:r w:rsidR="00962382">
              <w:t xml:space="preserve">issues and </w:t>
            </w:r>
            <w:r w:rsidR="000D054B">
              <w:t>tasks.</w:t>
            </w:r>
            <w:r w:rsidR="00DB59C5">
              <w:t xml:space="preserve"> 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00316004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F77C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Default="00F01EA0" w:rsidP="0012209D"/>
    <w:p w14:paraId="7E0E32B5" w14:textId="77777777" w:rsidR="00050ED3" w:rsidRDefault="00050ED3" w:rsidP="0012209D"/>
    <w:p w14:paraId="2D04097B" w14:textId="77777777" w:rsidR="00050ED3" w:rsidRDefault="00050ED3" w:rsidP="0012209D"/>
    <w:p w14:paraId="2479D0CC" w14:textId="77777777" w:rsidR="00050ED3" w:rsidRDefault="00050ED3" w:rsidP="0012209D"/>
    <w:p w14:paraId="2911245F" w14:textId="77777777" w:rsidR="00050ED3" w:rsidRDefault="00050ED3" w:rsidP="0012209D"/>
    <w:p w14:paraId="3B5684FA" w14:textId="77777777" w:rsidR="00431DB6" w:rsidRPr="005F5370" w:rsidRDefault="00431DB6" w:rsidP="00431DB6">
      <w:pPr>
        <w:rPr>
          <w:b/>
          <w:bCs/>
          <w:sz w:val="22"/>
          <w:szCs w:val="24"/>
        </w:rPr>
      </w:pPr>
      <w:r w:rsidRPr="005F5370">
        <w:rPr>
          <w:b/>
          <w:bCs/>
          <w:sz w:val="22"/>
          <w:szCs w:val="24"/>
        </w:rPr>
        <w:lastRenderedPageBreak/>
        <w:t>Appendix 1.</w:t>
      </w:r>
      <w:r w:rsidRPr="005F5370">
        <w:rPr>
          <w:rFonts w:ascii="Arial" w:hAnsi="Arial" w:cs="Arial"/>
          <w:b/>
          <w:bCs/>
          <w:sz w:val="22"/>
          <w:szCs w:val="24"/>
        </w:rPr>
        <w:t> </w:t>
      </w:r>
      <w:r w:rsidRPr="005F5370">
        <w:rPr>
          <w:b/>
          <w:bCs/>
          <w:sz w:val="22"/>
          <w:szCs w:val="24"/>
        </w:rPr>
        <w:t>Embedding Collegiality</w:t>
      </w:r>
      <w:r w:rsidRPr="005F5370">
        <w:rPr>
          <w:rFonts w:ascii="Arial" w:hAnsi="Arial" w:cs="Arial"/>
          <w:b/>
          <w:bCs/>
          <w:sz w:val="22"/>
          <w:szCs w:val="24"/>
        </w:rPr>
        <w:t> </w:t>
      </w:r>
    </w:p>
    <w:p w14:paraId="01382BF0" w14:textId="77777777" w:rsidR="00431DB6" w:rsidRPr="00DA2948" w:rsidRDefault="00431DB6" w:rsidP="00431DB6">
      <w:pPr>
        <w:rPr>
          <w:b/>
          <w:bCs/>
          <w:sz w:val="22"/>
          <w:szCs w:val="24"/>
        </w:rPr>
      </w:pPr>
    </w:p>
    <w:p w14:paraId="62FA43BE" w14:textId="77777777" w:rsidR="00431DB6" w:rsidRDefault="00431DB6" w:rsidP="00431DB6">
      <w:pPr>
        <w:rPr>
          <w:rFonts w:ascii="Arial" w:hAnsi="Arial" w:cs="Arial"/>
          <w:b/>
          <w:bCs/>
          <w:sz w:val="22"/>
          <w:szCs w:val="24"/>
        </w:rPr>
      </w:pPr>
      <w:r w:rsidRPr="005F5370">
        <w:rPr>
          <w:szCs w:val="18"/>
        </w:rPr>
        <w:t>Collegiality represents one of the four core principles of the</w:t>
      </w:r>
      <w:r w:rsidRPr="005F5370">
        <w:rPr>
          <w:rFonts w:ascii="Arial" w:hAnsi="Arial" w:cs="Arial"/>
          <w:szCs w:val="18"/>
        </w:rPr>
        <w:t> </w:t>
      </w:r>
      <w:r w:rsidRPr="005F5370">
        <w:rPr>
          <w:szCs w:val="18"/>
        </w:rPr>
        <w:t>University;</w:t>
      </w:r>
      <w:r w:rsidRPr="005F5370">
        <w:rPr>
          <w:rFonts w:ascii="Arial" w:hAnsi="Arial" w:cs="Arial"/>
          <w:szCs w:val="18"/>
        </w:rPr>
        <w:t> </w:t>
      </w:r>
      <w:r w:rsidRPr="005F5370">
        <w:rPr>
          <w:szCs w:val="18"/>
        </w:rPr>
        <w:t>Collegiality, Quality, Internationalisation and Sustainability. Our Southampton Behaviours set out our expectations of all staff across the University to support the achievement of our strategy.</w:t>
      </w:r>
      <w:r w:rsidRPr="00DA2948">
        <w:rPr>
          <w:rFonts w:ascii="Arial" w:hAnsi="Arial" w:cs="Arial"/>
          <w:b/>
          <w:bCs/>
          <w:sz w:val="22"/>
          <w:szCs w:val="24"/>
        </w:rPr>
        <w:t> </w:t>
      </w:r>
    </w:p>
    <w:p w14:paraId="3605BAA6" w14:textId="77777777" w:rsidR="00431DB6" w:rsidRDefault="00431DB6" w:rsidP="00431DB6">
      <w:pPr>
        <w:rPr>
          <w:rFonts w:ascii="Arial" w:hAnsi="Arial" w:cs="Arial"/>
          <w:b/>
          <w:bCs/>
          <w:sz w:val="22"/>
          <w:szCs w:val="24"/>
        </w:rPr>
      </w:pPr>
    </w:p>
    <w:p w14:paraId="14D64374" w14:textId="77777777" w:rsidR="00431DB6" w:rsidRPr="0012209D" w:rsidRDefault="00431DB6" w:rsidP="00431DB6">
      <w:r w:rsidRPr="004D5EE4">
        <w:rPr>
          <w:noProof/>
        </w:rPr>
        <w:drawing>
          <wp:inline distT="0" distB="0" distL="0" distR="0" wp14:anchorId="7900AB9B" wp14:editId="29C448E1">
            <wp:extent cx="5731510" cy="652263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6881D" w14:textId="77777777" w:rsidR="00431DB6" w:rsidRPr="0012209D" w:rsidRDefault="00431DB6" w:rsidP="00431DB6"/>
    <w:p w14:paraId="3972A50F" w14:textId="77777777" w:rsidR="00050ED3" w:rsidRPr="0012209D" w:rsidRDefault="00050ED3" w:rsidP="0012209D"/>
    <w:sectPr w:rsidR="00050ED3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D072" w14:textId="77777777" w:rsidR="00D018C6" w:rsidRDefault="00D018C6">
      <w:r>
        <w:separator/>
      </w:r>
    </w:p>
    <w:p w14:paraId="22878447" w14:textId="77777777" w:rsidR="00D018C6" w:rsidRDefault="00D018C6"/>
  </w:endnote>
  <w:endnote w:type="continuationSeparator" w:id="0">
    <w:p w14:paraId="0E172A96" w14:textId="77777777" w:rsidR="00D018C6" w:rsidRDefault="00D018C6">
      <w:r>
        <w:continuationSeparator/>
      </w:r>
    </w:p>
    <w:p w14:paraId="29C97D75" w14:textId="77777777" w:rsidR="00D018C6" w:rsidRDefault="00D01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43734280" w:rsidR="00062768" w:rsidRDefault="00AC47BB" w:rsidP="0008018B">
    <w:pPr>
      <w:pStyle w:val="ContinuationFooter"/>
    </w:pPr>
    <w:r>
      <w:rPr>
        <w:b/>
        <w:bCs/>
      </w:rPr>
      <w:t>Student Systems Support Manager</w:t>
    </w:r>
    <w:r>
      <w:t xml:space="preserve"> </w:t>
    </w:r>
    <w:r w:rsidR="00EB4016">
      <w:t xml:space="preserve">- </w:t>
    </w:r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10FA7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0DF3" w14:textId="77777777" w:rsidR="00D018C6" w:rsidRDefault="00D018C6">
      <w:r>
        <w:separator/>
      </w:r>
    </w:p>
    <w:p w14:paraId="3158D089" w14:textId="77777777" w:rsidR="00D018C6" w:rsidRDefault="00D018C6"/>
  </w:footnote>
  <w:footnote w:type="continuationSeparator" w:id="0">
    <w:p w14:paraId="694C527B" w14:textId="77777777" w:rsidR="00D018C6" w:rsidRDefault="00D018C6">
      <w:r>
        <w:continuationSeparator/>
      </w:r>
    </w:p>
    <w:p w14:paraId="3005348B" w14:textId="77777777" w:rsidR="00D018C6" w:rsidRDefault="00D01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22AF99D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A26A3"/>
    <w:multiLevelType w:val="hybridMultilevel"/>
    <w:tmpl w:val="C9E29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5226C"/>
    <w:multiLevelType w:val="hybridMultilevel"/>
    <w:tmpl w:val="6FCA3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3F5331"/>
    <w:multiLevelType w:val="hybridMultilevel"/>
    <w:tmpl w:val="B146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B2DED"/>
    <w:multiLevelType w:val="hybridMultilevel"/>
    <w:tmpl w:val="53B0FAD4"/>
    <w:lvl w:ilvl="0" w:tplc="080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B372B4"/>
    <w:multiLevelType w:val="hybridMultilevel"/>
    <w:tmpl w:val="80D8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365798"/>
    <w:multiLevelType w:val="hybridMultilevel"/>
    <w:tmpl w:val="369A2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E135A"/>
    <w:multiLevelType w:val="hybridMultilevel"/>
    <w:tmpl w:val="09F6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85C18"/>
    <w:multiLevelType w:val="hybridMultilevel"/>
    <w:tmpl w:val="08C6E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F309CB"/>
    <w:multiLevelType w:val="hybridMultilevel"/>
    <w:tmpl w:val="B112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E2E327F"/>
    <w:multiLevelType w:val="hybridMultilevel"/>
    <w:tmpl w:val="D4067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26238D"/>
    <w:multiLevelType w:val="hybridMultilevel"/>
    <w:tmpl w:val="0C126E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744307027">
    <w:abstractNumId w:val="28"/>
  </w:num>
  <w:num w:numId="2" w16cid:durableId="579682521">
    <w:abstractNumId w:val="0"/>
  </w:num>
  <w:num w:numId="3" w16cid:durableId="309330237">
    <w:abstractNumId w:val="22"/>
  </w:num>
  <w:num w:numId="4" w16cid:durableId="368259642">
    <w:abstractNumId w:val="17"/>
  </w:num>
  <w:num w:numId="5" w16cid:durableId="1043481871">
    <w:abstractNumId w:val="18"/>
  </w:num>
  <w:num w:numId="6" w16cid:durableId="63378293">
    <w:abstractNumId w:val="12"/>
  </w:num>
  <w:num w:numId="7" w16cid:durableId="271207296">
    <w:abstractNumId w:val="5"/>
  </w:num>
  <w:num w:numId="8" w16cid:durableId="2017919124">
    <w:abstractNumId w:val="9"/>
  </w:num>
  <w:num w:numId="9" w16cid:durableId="842284448">
    <w:abstractNumId w:val="2"/>
  </w:num>
  <w:num w:numId="10" w16cid:durableId="1704745166">
    <w:abstractNumId w:val="13"/>
  </w:num>
  <w:num w:numId="11" w16cid:durableId="1130241411">
    <w:abstractNumId w:val="8"/>
  </w:num>
  <w:num w:numId="12" w16cid:durableId="1646928965">
    <w:abstractNumId w:val="23"/>
  </w:num>
  <w:num w:numId="13" w16cid:durableId="1305886132">
    <w:abstractNumId w:val="24"/>
  </w:num>
  <w:num w:numId="14" w16cid:durableId="651569598">
    <w:abstractNumId w:val="10"/>
  </w:num>
  <w:num w:numId="15" w16cid:durableId="1565677653">
    <w:abstractNumId w:val="3"/>
  </w:num>
  <w:num w:numId="16" w16cid:durableId="1658413155">
    <w:abstractNumId w:val="20"/>
  </w:num>
  <w:num w:numId="17" w16cid:durableId="1016346532">
    <w:abstractNumId w:val="21"/>
  </w:num>
  <w:num w:numId="18" w16cid:durableId="1478915221">
    <w:abstractNumId w:val="26"/>
  </w:num>
  <w:num w:numId="19" w16cid:durableId="139884790">
    <w:abstractNumId w:val="14"/>
  </w:num>
  <w:num w:numId="20" w16cid:durableId="94374363">
    <w:abstractNumId w:val="16"/>
  </w:num>
  <w:num w:numId="21" w16cid:durableId="522862288">
    <w:abstractNumId w:val="25"/>
  </w:num>
  <w:num w:numId="22" w16cid:durableId="47775817">
    <w:abstractNumId w:val="6"/>
  </w:num>
  <w:num w:numId="23" w16cid:durableId="78524226">
    <w:abstractNumId w:val="4"/>
  </w:num>
  <w:num w:numId="24" w16cid:durableId="1372261560">
    <w:abstractNumId w:val="11"/>
  </w:num>
  <w:num w:numId="25" w16cid:durableId="420177163">
    <w:abstractNumId w:val="7"/>
  </w:num>
  <w:num w:numId="26" w16cid:durableId="815880604">
    <w:abstractNumId w:val="27"/>
  </w:num>
  <w:num w:numId="27" w16cid:durableId="60640586">
    <w:abstractNumId w:val="19"/>
  </w:num>
  <w:num w:numId="28" w16cid:durableId="1117331047">
    <w:abstractNumId w:val="1"/>
  </w:num>
  <w:num w:numId="29" w16cid:durableId="145059174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1AFB"/>
    <w:rsid w:val="00010A3A"/>
    <w:rsid w:val="00012AA0"/>
    <w:rsid w:val="000134AC"/>
    <w:rsid w:val="00013C10"/>
    <w:rsid w:val="00015087"/>
    <w:rsid w:val="00050ED3"/>
    <w:rsid w:val="0005274A"/>
    <w:rsid w:val="00052E03"/>
    <w:rsid w:val="00057DE4"/>
    <w:rsid w:val="00062768"/>
    <w:rsid w:val="00063081"/>
    <w:rsid w:val="00071653"/>
    <w:rsid w:val="00075016"/>
    <w:rsid w:val="0008018B"/>
    <w:rsid w:val="000824F4"/>
    <w:rsid w:val="00083593"/>
    <w:rsid w:val="00095D14"/>
    <w:rsid w:val="000978E8"/>
    <w:rsid w:val="000A4E82"/>
    <w:rsid w:val="000B1DED"/>
    <w:rsid w:val="000B4E5A"/>
    <w:rsid w:val="000B63EF"/>
    <w:rsid w:val="000C3DC1"/>
    <w:rsid w:val="000D054B"/>
    <w:rsid w:val="000D22A0"/>
    <w:rsid w:val="000F4FC5"/>
    <w:rsid w:val="001014BE"/>
    <w:rsid w:val="00102BCB"/>
    <w:rsid w:val="0010642F"/>
    <w:rsid w:val="0012209D"/>
    <w:rsid w:val="00126851"/>
    <w:rsid w:val="00141C29"/>
    <w:rsid w:val="00142764"/>
    <w:rsid w:val="001532E2"/>
    <w:rsid w:val="00153A56"/>
    <w:rsid w:val="00156F2F"/>
    <w:rsid w:val="00173637"/>
    <w:rsid w:val="0018144C"/>
    <w:rsid w:val="001840EA"/>
    <w:rsid w:val="00190AE1"/>
    <w:rsid w:val="001A3498"/>
    <w:rsid w:val="001B6986"/>
    <w:rsid w:val="001B7E20"/>
    <w:rsid w:val="001C5C5C"/>
    <w:rsid w:val="001D0B37"/>
    <w:rsid w:val="001D4A48"/>
    <w:rsid w:val="001D5201"/>
    <w:rsid w:val="001E24BE"/>
    <w:rsid w:val="001E67E5"/>
    <w:rsid w:val="00205458"/>
    <w:rsid w:val="002108BC"/>
    <w:rsid w:val="002324AE"/>
    <w:rsid w:val="00236BFE"/>
    <w:rsid w:val="002403F6"/>
    <w:rsid w:val="00241441"/>
    <w:rsid w:val="00242EFF"/>
    <w:rsid w:val="0024539C"/>
    <w:rsid w:val="00254722"/>
    <w:rsid w:val="002547F5"/>
    <w:rsid w:val="00257395"/>
    <w:rsid w:val="00260333"/>
    <w:rsid w:val="00260B1D"/>
    <w:rsid w:val="00266C6A"/>
    <w:rsid w:val="002753C1"/>
    <w:rsid w:val="0028509A"/>
    <w:rsid w:val="00287575"/>
    <w:rsid w:val="0029789A"/>
    <w:rsid w:val="002A70BE"/>
    <w:rsid w:val="002B7CB4"/>
    <w:rsid w:val="002C4EA0"/>
    <w:rsid w:val="002C6198"/>
    <w:rsid w:val="002D4DF4"/>
    <w:rsid w:val="002E1514"/>
    <w:rsid w:val="00303103"/>
    <w:rsid w:val="003036C3"/>
    <w:rsid w:val="00304FAE"/>
    <w:rsid w:val="00312B1E"/>
    <w:rsid w:val="00312C9E"/>
    <w:rsid w:val="00313CC8"/>
    <w:rsid w:val="00315265"/>
    <w:rsid w:val="003175C0"/>
    <w:rsid w:val="003178D9"/>
    <w:rsid w:val="00326561"/>
    <w:rsid w:val="00332BBB"/>
    <w:rsid w:val="0034151E"/>
    <w:rsid w:val="00343D93"/>
    <w:rsid w:val="00344F67"/>
    <w:rsid w:val="0034594A"/>
    <w:rsid w:val="00364B2C"/>
    <w:rsid w:val="003701F7"/>
    <w:rsid w:val="00376469"/>
    <w:rsid w:val="00392910"/>
    <w:rsid w:val="003956FD"/>
    <w:rsid w:val="00397D4C"/>
    <w:rsid w:val="003A2001"/>
    <w:rsid w:val="003B0262"/>
    <w:rsid w:val="003B7540"/>
    <w:rsid w:val="003D0B6F"/>
    <w:rsid w:val="003D2940"/>
    <w:rsid w:val="003D457A"/>
    <w:rsid w:val="003D635F"/>
    <w:rsid w:val="003E067C"/>
    <w:rsid w:val="003E24E7"/>
    <w:rsid w:val="003E3C65"/>
    <w:rsid w:val="004074F7"/>
    <w:rsid w:val="00421A84"/>
    <w:rsid w:val="004263FE"/>
    <w:rsid w:val="00431DB6"/>
    <w:rsid w:val="0043574D"/>
    <w:rsid w:val="00463797"/>
    <w:rsid w:val="00467596"/>
    <w:rsid w:val="00472893"/>
    <w:rsid w:val="00472965"/>
    <w:rsid w:val="00474D00"/>
    <w:rsid w:val="004A5AAE"/>
    <w:rsid w:val="004B17C8"/>
    <w:rsid w:val="004B2A50"/>
    <w:rsid w:val="004C0252"/>
    <w:rsid w:val="004C0B54"/>
    <w:rsid w:val="004C2D6D"/>
    <w:rsid w:val="004C7A5F"/>
    <w:rsid w:val="00510FA7"/>
    <w:rsid w:val="0051744C"/>
    <w:rsid w:val="00524005"/>
    <w:rsid w:val="00534CBB"/>
    <w:rsid w:val="00541CE0"/>
    <w:rsid w:val="00545951"/>
    <w:rsid w:val="0055237D"/>
    <w:rsid w:val="00553178"/>
    <w:rsid w:val="005534E1"/>
    <w:rsid w:val="00557CFE"/>
    <w:rsid w:val="00561E02"/>
    <w:rsid w:val="00573487"/>
    <w:rsid w:val="00576AAF"/>
    <w:rsid w:val="00580CBF"/>
    <w:rsid w:val="00581350"/>
    <w:rsid w:val="0058535D"/>
    <w:rsid w:val="005907B3"/>
    <w:rsid w:val="005949FA"/>
    <w:rsid w:val="005959CD"/>
    <w:rsid w:val="005A0E96"/>
    <w:rsid w:val="005B4132"/>
    <w:rsid w:val="005D44D1"/>
    <w:rsid w:val="005E7F8F"/>
    <w:rsid w:val="005F617E"/>
    <w:rsid w:val="006005B0"/>
    <w:rsid w:val="00600B93"/>
    <w:rsid w:val="00601F61"/>
    <w:rsid w:val="0061324D"/>
    <w:rsid w:val="006174F4"/>
    <w:rsid w:val="00617FAD"/>
    <w:rsid w:val="006249FD"/>
    <w:rsid w:val="006334D0"/>
    <w:rsid w:val="00640842"/>
    <w:rsid w:val="00641254"/>
    <w:rsid w:val="00643D25"/>
    <w:rsid w:val="00651280"/>
    <w:rsid w:val="00651F2C"/>
    <w:rsid w:val="00655720"/>
    <w:rsid w:val="00656950"/>
    <w:rsid w:val="00657D2F"/>
    <w:rsid w:val="0066702B"/>
    <w:rsid w:val="00671F76"/>
    <w:rsid w:val="0067549B"/>
    <w:rsid w:val="00680445"/>
    <w:rsid w:val="00680547"/>
    <w:rsid w:val="00695D76"/>
    <w:rsid w:val="006B0EFD"/>
    <w:rsid w:val="006B1AF6"/>
    <w:rsid w:val="006C6B56"/>
    <w:rsid w:val="006C6D1B"/>
    <w:rsid w:val="006C70A7"/>
    <w:rsid w:val="006C7EB9"/>
    <w:rsid w:val="006D47B6"/>
    <w:rsid w:val="006D48A5"/>
    <w:rsid w:val="006D5C66"/>
    <w:rsid w:val="006E0A1A"/>
    <w:rsid w:val="006E1A16"/>
    <w:rsid w:val="006E2AFB"/>
    <w:rsid w:val="006F44EB"/>
    <w:rsid w:val="00700673"/>
    <w:rsid w:val="00702D64"/>
    <w:rsid w:val="0070376B"/>
    <w:rsid w:val="0070532A"/>
    <w:rsid w:val="00712F74"/>
    <w:rsid w:val="00721F57"/>
    <w:rsid w:val="00725696"/>
    <w:rsid w:val="007321BA"/>
    <w:rsid w:val="00746AEB"/>
    <w:rsid w:val="00761108"/>
    <w:rsid w:val="00772BD0"/>
    <w:rsid w:val="00791076"/>
    <w:rsid w:val="0079197B"/>
    <w:rsid w:val="00791A2A"/>
    <w:rsid w:val="00794AA2"/>
    <w:rsid w:val="007A2803"/>
    <w:rsid w:val="007C0817"/>
    <w:rsid w:val="007C22CC"/>
    <w:rsid w:val="007C3E77"/>
    <w:rsid w:val="007C6A76"/>
    <w:rsid w:val="007C6FAA"/>
    <w:rsid w:val="007D4F9B"/>
    <w:rsid w:val="007E0ADD"/>
    <w:rsid w:val="007E1B6B"/>
    <w:rsid w:val="007E2D19"/>
    <w:rsid w:val="007F2AEA"/>
    <w:rsid w:val="007F77CF"/>
    <w:rsid w:val="00801455"/>
    <w:rsid w:val="00801835"/>
    <w:rsid w:val="008069B3"/>
    <w:rsid w:val="00813283"/>
    <w:rsid w:val="00813365"/>
    <w:rsid w:val="00813A2C"/>
    <w:rsid w:val="00816A25"/>
    <w:rsid w:val="0082020C"/>
    <w:rsid w:val="0082075E"/>
    <w:rsid w:val="008443D8"/>
    <w:rsid w:val="00854B1E"/>
    <w:rsid w:val="00856B8A"/>
    <w:rsid w:val="0086234E"/>
    <w:rsid w:val="00862EE8"/>
    <w:rsid w:val="00876272"/>
    <w:rsid w:val="00882635"/>
    <w:rsid w:val="00883499"/>
    <w:rsid w:val="00885FD1"/>
    <w:rsid w:val="008862A0"/>
    <w:rsid w:val="008961F9"/>
    <w:rsid w:val="008D52C9"/>
    <w:rsid w:val="008F03C7"/>
    <w:rsid w:val="008F22C6"/>
    <w:rsid w:val="008F367D"/>
    <w:rsid w:val="008F4928"/>
    <w:rsid w:val="008F740D"/>
    <w:rsid w:val="008F7A00"/>
    <w:rsid w:val="009064A9"/>
    <w:rsid w:val="009260C1"/>
    <w:rsid w:val="009419A4"/>
    <w:rsid w:val="00945F4B"/>
    <w:rsid w:val="009464AF"/>
    <w:rsid w:val="0094709E"/>
    <w:rsid w:val="00951D84"/>
    <w:rsid w:val="00954E47"/>
    <w:rsid w:val="0096141B"/>
    <w:rsid w:val="00962382"/>
    <w:rsid w:val="00965BFB"/>
    <w:rsid w:val="00970E28"/>
    <w:rsid w:val="009724DF"/>
    <w:rsid w:val="00980E69"/>
    <w:rsid w:val="0098120F"/>
    <w:rsid w:val="00996476"/>
    <w:rsid w:val="009A26B4"/>
    <w:rsid w:val="009B320A"/>
    <w:rsid w:val="009D1074"/>
    <w:rsid w:val="009D1867"/>
    <w:rsid w:val="00A01AA2"/>
    <w:rsid w:val="00A021B7"/>
    <w:rsid w:val="00A07B4F"/>
    <w:rsid w:val="00A131D9"/>
    <w:rsid w:val="00A14888"/>
    <w:rsid w:val="00A23226"/>
    <w:rsid w:val="00A27640"/>
    <w:rsid w:val="00A34296"/>
    <w:rsid w:val="00A34478"/>
    <w:rsid w:val="00A40BDB"/>
    <w:rsid w:val="00A42A6C"/>
    <w:rsid w:val="00A5009C"/>
    <w:rsid w:val="00A521A9"/>
    <w:rsid w:val="00A6479C"/>
    <w:rsid w:val="00A7244A"/>
    <w:rsid w:val="00A76D76"/>
    <w:rsid w:val="00A9005F"/>
    <w:rsid w:val="00A925C0"/>
    <w:rsid w:val="00AA3CB5"/>
    <w:rsid w:val="00AB4D17"/>
    <w:rsid w:val="00AB6F1D"/>
    <w:rsid w:val="00AC2B17"/>
    <w:rsid w:val="00AC47BB"/>
    <w:rsid w:val="00AD55B3"/>
    <w:rsid w:val="00AE07C9"/>
    <w:rsid w:val="00AE1CA0"/>
    <w:rsid w:val="00AE39DC"/>
    <w:rsid w:val="00AE4435"/>
    <w:rsid w:val="00AE4DC4"/>
    <w:rsid w:val="00B02F38"/>
    <w:rsid w:val="00B15EDC"/>
    <w:rsid w:val="00B16204"/>
    <w:rsid w:val="00B42FC2"/>
    <w:rsid w:val="00B430BB"/>
    <w:rsid w:val="00B56A05"/>
    <w:rsid w:val="00B6585A"/>
    <w:rsid w:val="00B76DCA"/>
    <w:rsid w:val="00B7743D"/>
    <w:rsid w:val="00B84C12"/>
    <w:rsid w:val="00BA4063"/>
    <w:rsid w:val="00BA4811"/>
    <w:rsid w:val="00BB0403"/>
    <w:rsid w:val="00BB4A42"/>
    <w:rsid w:val="00BB7845"/>
    <w:rsid w:val="00BC12B7"/>
    <w:rsid w:val="00BC2C6C"/>
    <w:rsid w:val="00BD7602"/>
    <w:rsid w:val="00BE0D87"/>
    <w:rsid w:val="00BF1CC6"/>
    <w:rsid w:val="00C0210C"/>
    <w:rsid w:val="00C02DDF"/>
    <w:rsid w:val="00C176B7"/>
    <w:rsid w:val="00C17D06"/>
    <w:rsid w:val="00C262BD"/>
    <w:rsid w:val="00C30223"/>
    <w:rsid w:val="00C31B06"/>
    <w:rsid w:val="00C76CFD"/>
    <w:rsid w:val="00C9059C"/>
    <w:rsid w:val="00C907D0"/>
    <w:rsid w:val="00C95FE0"/>
    <w:rsid w:val="00CA0DDB"/>
    <w:rsid w:val="00CA3998"/>
    <w:rsid w:val="00CB0C44"/>
    <w:rsid w:val="00CB1F23"/>
    <w:rsid w:val="00CD04F0"/>
    <w:rsid w:val="00CE3A26"/>
    <w:rsid w:val="00CE6E7B"/>
    <w:rsid w:val="00CF101F"/>
    <w:rsid w:val="00D018C6"/>
    <w:rsid w:val="00D04ACA"/>
    <w:rsid w:val="00D125BC"/>
    <w:rsid w:val="00D16D9D"/>
    <w:rsid w:val="00D26ECC"/>
    <w:rsid w:val="00D3349E"/>
    <w:rsid w:val="00D43F60"/>
    <w:rsid w:val="00D50678"/>
    <w:rsid w:val="00D50B44"/>
    <w:rsid w:val="00D54AA2"/>
    <w:rsid w:val="00D55315"/>
    <w:rsid w:val="00D5587F"/>
    <w:rsid w:val="00D560FF"/>
    <w:rsid w:val="00D64C81"/>
    <w:rsid w:val="00D65B56"/>
    <w:rsid w:val="00D67D41"/>
    <w:rsid w:val="00D73BB9"/>
    <w:rsid w:val="00D82616"/>
    <w:rsid w:val="00D912E4"/>
    <w:rsid w:val="00D9486C"/>
    <w:rsid w:val="00DA7773"/>
    <w:rsid w:val="00DB2F43"/>
    <w:rsid w:val="00DB33BE"/>
    <w:rsid w:val="00DB59C5"/>
    <w:rsid w:val="00DC1CE3"/>
    <w:rsid w:val="00DC3E00"/>
    <w:rsid w:val="00DE553C"/>
    <w:rsid w:val="00DF5AA6"/>
    <w:rsid w:val="00E01106"/>
    <w:rsid w:val="00E05F58"/>
    <w:rsid w:val="00E0691A"/>
    <w:rsid w:val="00E24897"/>
    <w:rsid w:val="00E25775"/>
    <w:rsid w:val="00E264FD"/>
    <w:rsid w:val="00E327AF"/>
    <w:rsid w:val="00E363B8"/>
    <w:rsid w:val="00E4091B"/>
    <w:rsid w:val="00E54EEC"/>
    <w:rsid w:val="00E63AC1"/>
    <w:rsid w:val="00E91A68"/>
    <w:rsid w:val="00E949CE"/>
    <w:rsid w:val="00E96015"/>
    <w:rsid w:val="00E9728D"/>
    <w:rsid w:val="00EA5098"/>
    <w:rsid w:val="00EB0E15"/>
    <w:rsid w:val="00EB0FFB"/>
    <w:rsid w:val="00EB4016"/>
    <w:rsid w:val="00EB589D"/>
    <w:rsid w:val="00EB5915"/>
    <w:rsid w:val="00EC6B48"/>
    <w:rsid w:val="00ED2E52"/>
    <w:rsid w:val="00ED6457"/>
    <w:rsid w:val="00EE13FB"/>
    <w:rsid w:val="00EF77F3"/>
    <w:rsid w:val="00F01EA0"/>
    <w:rsid w:val="00F135E0"/>
    <w:rsid w:val="00F17E4E"/>
    <w:rsid w:val="00F36E01"/>
    <w:rsid w:val="00F378D2"/>
    <w:rsid w:val="00F45B84"/>
    <w:rsid w:val="00F52063"/>
    <w:rsid w:val="00F531CB"/>
    <w:rsid w:val="00F53C3D"/>
    <w:rsid w:val="00F7463A"/>
    <w:rsid w:val="00F770B5"/>
    <w:rsid w:val="00F84583"/>
    <w:rsid w:val="00F85DED"/>
    <w:rsid w:val="00F90F90"/>
    <w:rsid w:val="00F96318"/>
    <w:rsid w:val="00FA2871"/>
    <w:rsid w:val="00FB0A48"/>
    <w:rsid w:val="00FB5BC7"/>
    <w:rsid w:val="00FB7297"/>
    <w:rsid w:val="00FC2ADA"/>
    <w:rsid w:val="00FC57E5"/>
    <w:rsid w:val="00FD332B"/>
    <w:rsid w:val="00FF0FA0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E3C65"/>
  </w:style>
  <w:style w:type="character" w:customStyle="1" w:styleId="eop">
    <w:name w:val="eop"/>
    <w:basedOn w:val="DefaultParagraphFont"/>
    <w:rsid w:val="003E3C65"/>
  </w:style>
  <w:style w:type="paragraph" w:styleId="Revision">
    <w:name w:val="Revision"/>
    <w:hidden/>
    <w:uiPriority w:val="99"/>
    <w:semiHidden/>
    <w:rsid w:val="000B63E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376A20-6C65-4CA0-9CFC-8EBF00F4D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2D8271-A09F-4B72-8EC2-F451C9774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Shaghayegh Maclean</cp:lastModifiedBy>
  <cp:revision>4</cp:revision>
  <cp:lastPrinted>2008-01-14T17:11:00Z</cp:lastPrinted>
  <dcterms:created xsi:type="dcterms:W3CDTF">2024-08-13T15:50:00Z</dcterms:created>
  <dcterms:modified xsi:type="dcterms:W3CDTF">2024-08-13T15:53:00Z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